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5EB" w:rsidRPr="00B37402" w:rsidRDefault="00A235EB" w:rsidP="00A235EB">
      <w:pPr>
        <w:suppressAutoHyphens/>
        <w:spacing w:after="120" w:line="240" w:lineRule="auto"/>
        <w:rPr>
          <w:rFonts w:ascii="Calibri" w:eastAsia="Calibri" w:hAnsi="Calibri" w:cs="Times New Roman"/>
          <w:lang w:val="uz-Cyrl-UZ" w:eastAsia="zh-CN"/>
        </w:rPr>
      </w:pPr>
      <w:r w:rsidRPr="00B37402">
        <w:rPr>
          <w:rFonts w:ascii="Times New Roman" w:eastAsia="Calibri" w:hAnsi="Times New Roman" w:cs="Times New Roman"/>
          <w:b/>
          <w:lang w:val="sr-Cyrl-RS" w:eastAsia="zh-CN"/>
        </w:rPr>
        <w:t>Табела 6.3.</w:t>
      </w:r>
      <w:r w:rsidRPr="00B37402">
        <w:rPr>
          <w:rFonts w:ascii="Times New Roman" w:eastAsia="Calibri" w:hAnsi="Times New Roman" w:cs="Times New Roman"/>
          <w:lang w:val="sr-Cyrl-RS" w:eastAsia="zh-CN"/>
        </w:rPr>
        <w:t xml:space="preserve">  Збирни  преглед  научноистраживачких и уметничких резултата  остварених  у претходној календарској години према критеријумима Министарства </w:t>
      </w:r>
      <w:r w:rsidRPr="00B37402">
        <w:rPr>
          <w:rFonts w:ascii="Times New Roman" w:eastAsia="Times New Roman" w:hAnsi="Times New Roman" w:cs="Times New Roman"/>
          <w:lang w:val="sr-Cyrl-RS" w:eastAsia="zh-CN"/>
        </w:rPr>
        <w:t>и класификације уметничко-истраживачких резултата.</w:t>
      </w:r>
    </w:p>
    <w:tbl>
      <w:tblPr>
        <w:tblW w:w="0" w:type="auto"/>
        <w:tblInd w:w="108" w:type="dxa"/>
        <w:tblLayout w:type="fixed"/>
        <w:tblLook w:val="0000" w:firstRow="0" w:lastRow="0" w:firstColumn="0" w:lastColumn="0" w:noHBand="0" w:noVBand="0"/>
      </w:tblPr>
      <w:tblGrid>
        <w:gridCol w:w="875"/>
        <w:gridCol w:w="5806"/>
        <w:gridCol w:w="1418"/>
        <w:gridCol w:w="1090"/>
      </w:tblGrid>
      <w:tr w:rsidR="00A235EB" w:rsidRPr="00B37402" w:rsidTr="00A235EB">
        <w:tc>
          <w:tcPr>
            <w:tcW w:w="875" w:type="dxa"/>
            <w:tcBorders>
              <w:top w:val="double" w:sz="4" w:space="0" w:color="000000"/>
              <w:left w:val="double" w:sz="4" w:space="0" w:color="000000"/>
              <w:bottom w:val="double" w:sz="4" w:space="0" w:color="000000"/>
            </w:tcBorders>
            <w:shd w:val="clear" w:color="auto" w:fill="auto"/>
            <w:vAlign w:val="center"/>
          </w:tcPr>
          <w:p w:rsidR="00A235EB" w:rsidRPr="00B37402" w:rsidRDefault="00A235EB" w:rsidP="00CA7B2D">
            <w:pPr>
              <w:suppressAutoHyphens/>
              <w:spacing w:before="40" w:after="40" w:line="276" w:lineRule="auto"/>
              <w:jc w:val="center"/>
              <w:rPr>
                <w:rFonts w:ascii="Calibri" w:eastAsia="Calibri" w:hAnsi="Calibri" w:cs="Times New Roman"/>
                <w:lang w:val="uz-Cyrl-UZ" w:eastAsia="zh-CN"/>
              </w:rPr>
            </w:pPr>
            <w:r w:rsidRPr="00B37402">
              <w:rPr>
                <w:rFonts w:ascii="Times New Roman" w:eastAsia="Calibri" w:hAnsi="Times New Roman" w:cs="Times New Roman"/>
                <w:lang w:val="sr-Cyrl-CS" w:eastAsia="zh-CN"/>
              </w:rPr>
              <w:t>Редни</w:t>
            </w:r>
          </w:p>
          <w:p w:rsidR="00A235EB" w:rsidRPr="00B37402" w:rsidRDefault="00A235EB" w:rsidP="00CA7B2D">
            <w:pPr>
              <w:suppressAutoHyphens/>
              <w:spacing w:before="40" w:after="40" w:line="276" w:lineRule="auto"/>
              <w:jc w:val="center"/>
              <w:rPr>
                <w:rFonts w:ascii="Calibri" w:eastAsia="Calibri" w:hAnsi="Calibri" w:cs="Times New Roman"/>
                <w:lang w:val="uz-Cyrl-UZ" w:eastAsia="zh-CN"/>
              </w:rPr>
            </w:pPr>
            <w:r w:rsidRPr="00B37402">
              <w:rPr>
                <w:rFonts w:ascii="Times New Roman" w:eastAsia="Calibri" w:hAnsi="Times New Roman" w:cs="Times New Roman"/>
                <w:lang w:val="sr-Cyrl-CS" w:eastAsia="zh-CN"/>
              </w:rPr>
              <w:t>број</w:t>
            </w:r>
          </w:p>
        </w:tc>
        <w:tc>
          <w:tcPr>
            <w:tcW w:w="5806" w:type="dxa"/>
            <w:tcBorders>
              <w:top w:val="double" w:sz="4" w:space="0" w:color="000000"/>
              <w:left w:val="single" w:sz="4" w:space="0" w:color="000000"/>
              <w:bottom w:val="double" w:sz="4" w:space="0" w:color="000000"/>
            </w:tcBorders>
            <w:shd w:val="clear" w:color="auto" w:fill="auto"/>
            <w:vAlign w:val="center"/>
          </w:tcPr>
          <w:p w:rsidR="00A235EB" w:rsidRPr="00B37402" w:rsidRDefault="00A235EB" w:rsidP="00CA7B2D">
            <w:pPr>
              <w:suppressAutoHyphens/>
              <w:spacing w:before="40" w:after="40" w:line="276" w:lineRule="auto"/>
              <w:jc w:val="center"/>
              <w:rPr>
                <w:rFonts w:ascii="Calibri" w:eastAsia="Calibri" w:hAnsi="Calibri" w:cs="Times New Roman"/>
                <w:lang w:val="uz-Cyrl-UZ" w:eastAsia="zh-CN"/>
              </w:rPr>
            </w:pPr>
            <w:r w:rsidRPr="00B37402">
              <w:rPr>
                <w:rFonts w:ascii="Times New Roman" w:eastAsia="Calibri" w:hAnsi="Times New Roman" w:cs="Times New Roman"/>
                <w:lang w:val="sr-Cyrl-CS" w:eastAsia="zh-CN"/>
              </w:rPr>
              <w:t>Резултат (назив научног/уметничког резултата)</w:t>
            </w:r>
          </w:p>
        </w:tc>
        <w:tc>
          <w:tcPr>
            <w:tcW w:w="1418" w:type="dxa"/>
            <w:tcBorders>
              <w:top w:val="double" w:sz="4" w:space="0" w:color="000000"/>
              <w:left w:val="single" w:sz="4" w:space="0" w:color="000000"/>
              <w:bottom w:val="double" w:sz="4" w:space="0" w:color="000000"/>
            </w:tcBorders>
            <w:shd w:val="clear" w:color="auto" w:fill="auto"/>
            <w:tcMar>
              <w:left w:w="0" w:type="dxa"/>
              <w:right w:w="0" w:type="dxa"/>
            </w:tcMar>
            <w:vAlign w:val="center"/>
          </w:tcPr>
          <w:p w:rsidR="00A235EB" w:rsidRPr="00B37402" w:rsidRDefault="00A235EB" w:rsidP="00A235EB">
            <w:pPr>
              <w:suppressAutoHyphens/>
              <w:spacing w:before="40" w:after="40" w:line="276" w:lineRule="auto"/>
              <w:jc w:val="center"/>
              <w:rPr>
                <w:rFonts w:ascii="Calibri" w:eastAsia="Calibri" w:hAnsi="Calibri" w:cs="Times New Roman"/>
                <w:lang w:val="uz-Cyrl-UZ" w:eastAsia="zh-CN"/>
              </w:rPr>
            </w:pPr>
            <w:r w:rsidRPr="00B37402">
              <w:rPr>
                <w:rFonts w:ascii="Times New Roman" w:eastAsia="Calibri" w:hAnsi="Times New Roman" w:cs="Times New Roman"/>
                <w:lang w:val="sr-Cyrl-CS" w:eastAsia="zh-CN"/>
              </w:rPr>
              <w:t>*Према Правилнику Министарства</w:t>
            </w:r>
          </w:p>
          <w:p w:rsidR="00A235EB" w:rsidRPr="00B37402" w:rsidRDefault="00A235EB" w:rsidP="00A235EB">
            <w:pPr>
              <w:suppressAutoHyphens/>
              <w:spacing w:before="40" w:after="40" w:line="276" w:lineRule="auto"/>
              <w:jc w:val="center"/>
              <w:rPr>
                <w:rFonts w:ascii="Calibri" w:eastAsia="Calibri" w:hAnsi="Calibri" w:cs="Times New Roman"/>
                <w:lang w:val="uz-Cyrl-UZ" w:eastAsia="zh-CN"/>
              </w:rPr>
            </w:pPr>
            <w:r w:rsidRPr="00B37402">
              <w:rPr>
                <w:rFonts w:ascii="Times New Roman" w:eastAsia="Calibri" w:hAnsi="Times New Roman" w:cs="Times New Roman"/>
                <w:lang w:val="sr-Cyrl-CS" w:eastAsia="zh-CN"/>
              </w:rPr>
              <w:t>(М10, М20, М30, М40, М60, М70, М80, M90)</w:t>
            </w:r>
          </w:p>
        </w:tc>
        <w:tc>
          <w:tcPr>
            <w:tcW w:w="1090" w:type="dxa"/>
            <w:tcBorders>
              <w:top w:val="double" w:sz="4" w:space="0" w:color="000000"/>
              <w:left w:val="single" w:sz="4" w:space="0" w:color="000000"/>
              <w:bottom w:val="double" w:sz="4" w:space="0" w:color="000000"/>
              <w:right w:val="double" w:sz="4" w:space="0" w:color="000000"/>
            </w:tcBorders>
            <w:shd w:val="clear" w:color="auto" w:fill="auto"/>
            <w:tcMar>
              <w:left w:w="0" w:type="dxa"/>
              <w:right w:w="0" w:type="dxa"/>
            </w:tcMar>
            <w:vAlign w:val="center"/>
          </w:tcPr>
          <w:p w:rsidR="00A235EB" w:rsidRPr="00B37402" w:rsidRDefault="00A235EB" w:rsidP="00A235EB">
            <w:pPr>
              <w:suppressAutoHyphens/>
              <w:spacing w:before="40" w:after="40" w:line="276" w:lineRule="auto"/>
              <w:jc w:val="center"/>
              <w:rPr>
                <w:rFonts w:ascii="Calibri" w:eastAsia="Calibri" w:hAnsi="Calibri" w:cs="Times New Roman"/>
                <w:lang w:val="uz-Cyrl-UZ" w:eastAsia="zh-CN"/>
              </w:rPr>
            </w:pPr>
            <w:r w:rsidRPr="00B37402">
              <w:rPr>
                <w:rFonts w:ascii="Times New Roman" w:eastAsia="Calibri" w:hAnsi="Times New Roman" w:cs="Times New Roman"/>
                <w:lang w:val="sr-Cyrl-CS" w:eastAsia="zh-CN"/>
              </w:rPr>
              <w:t>Број резултата</w:t>
            </w:r>
          </w:p>
        </w:tc>
      </w:tr>
      <w:tr w:rsidR="00A235EB" w:rsidRPr="00B37402" w:rsidTr="00A235EB">
        <w:tc>
          <w:tcPr>
            <w:tcW w:w="875" w:type="dxa"/>
            <w:tcBorders>
              <w:top w:val="doub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pacing w:after="200" w:line="276" w:lineRule="auto"/>
              <w:jc w:val="center"/>
              <w:rPr>
                <w:rFonts w:ascii="Calibri" w:eastAsia="Calibri" w:hAnsi="Calibri" w:cs="Times New Roman"/>
                <w:lang w:val="uz-Cyrl-UZ" w:eastAsia="zh-CN"/>
              </w:rPr>
            </w:pPr>
            <w:r w:rsidRPr="00B37402">
              <w:rPr>
                <w:rFonts w:ascii="Times New Roman" w:eastAsia="Calibri" w:hAnsi="Times New Roman" w:cs="Times New Roman"/>
                <w:lang w:val="sr-Cyrl-CS" w:eastAsia="zh-CN"/>
              </w:rPr>
              <w:t>1.</w:t>
            </w:r>
          </w:p>
        </w:tc>
        <w:tc>
          <w:tcPr>
            <w:tcW w:w="5806" w:type="dxa"/>
            <w:tcBorders>
              <w:top w:val="doub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B. Sovilj, I Sovilj-Nikić, S Sovilj-Nikić, V Blanuša, Research of the influence of axial displacement on the wear of hob milling tools, Annual Session of Scientific Papers IMT ORADEA 2020, IOP Conf. Series: Materials Science and Engineering 1169 (2021) 012040, p. 10</w:t>
            </w:r>
          </w:p>
        </w:tc>
        <w:tc>
          <w:tcPr>
            <w:tcW w:w="1418" w:type="dxa"/>
            <w:tcBorders>
              <w:top w:val="doub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М13</w:t>
            </w:r>
          </w:p>
        </w:tc>
        <w:tc>
          <w:tcPr>
            <w:tcW w:w="1090" w:type="dxa"/>
            <w:tcBorders>
              <w:top w:val="doub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bookmarkStart w:id="0" w:name="_GoBack"/>
            <w:bookmarkEnd w:id="0"/>
            <w:r w:rsidRPr="00B37402">
              <w:rPr>
                <w:rFonts w:ascii="Times New Roman" w:eastAsia="Calibri" w:hAnsi="Times New Roman" w:cs="Times New Roman"/>
                <w:lang w:val="sr-Cyrl-CS" w:eastAsia="zh-CN"/>
              </w:rPr>
              <w:t>1</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pacing w:after="200" w:line="276" w:lineRule="auto"/>
              <w:jc w:val="center"/>
              <w:rPr>
                <w:rFonts w:ascii="Calibri" w:eastAsia="Calibri" w:hAnsi="Calibri" w:cs="Times New Roman"/>
                <w:lang w:val="uz-Cyrl-UZ" w:eastAsia="zh-CN"/>
              </w:rPr>
            </w:pPr>
            <w:r w:rsidRPr="00B37402">
              <w:rPr>
                <w:rFonts w:ascii="Times New Roman" w:eastAsia="Calibri" w:hAnsi="Times New Roman" w:cs="Times New Roman"/>
                <w:lang w:val="sr-Cyrl-CS" w:eastAsia="zh-CN"/>
              </w:rPr>
              <w:t>2.</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r>
            <w:r w:rsidRPr="00B37402">
              <w:rPr>
                <w:rFonts w:ascii="Times New Roman" w:eastAsia="Calibri" w:hAnsi="Times New Roman" w:cs="Times New Roman"/>
                <w:lang w:val="sr-Cyrl-CS" w:eastAsia="zh-CN"/>
              </w:rPr>
              <w:tab/>
              <w:t>Голијанин Елез, С. (2021). Процесуална духовност јеврејске теме у Андрићевој поетици (истине) као вид онтологизације хронотопа града. Српски језик, књижевност, уметност : зборник радова са XV међународног научног скупа одржаног на Филолошко-уметничком факултету у Крагујевцу (30-31. X 2020). Књ. 2/2, Јевреји / уредници Драган Бошковић, Часлав Николић. - Крагујевац : Филолошко-уметнички факултет, 2021, стр. 67–80.</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Ђуркин, Ђ. и Јелић, М. (2021). „Ријечце у Вуковом Српском рјечнику“, у: M. Ковачевић, Ј. Петковић, Књ. I, Српски језик, књижевност, уметност, Модалност у српском језику (Зборник радова са XV међународног научног скупа одржаног на Филолошко-уметничком факултету у Крагујевцу 30–31. X 2020), Крагујевац: Филолошко-уметнички факултет, 2021, 85–9.</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 xml:space="preserve">Miščević, G., Blagdanić S., Bošnjak Stepanović, M. (2021). Knowledge in Shadow – Misconceptions Related to Light Phenomena that are Retained in Spite of Education. Monograph “Problems and Perspectives of Contemporary Education“ (Ed. N. Gutvajn, J. Stanišić and V. Radović). Institute for Educational Research, Belgrade, Serbia, p. 35- 51. ISBN 978-86-7447-157-9 </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Sadžakov, S., Antolović, M. (2021). ,,Univerzitet i</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sablasti tržišta: neoliberalizam, Bolonjska reforma“ i perspektive humanističkih disciplina“, u: M. Antolović i S. Sadžakov (ur.), Moderni univerzitet. Od Humboltove do Bolonjske reforme,  Pedagoški fakultet u Somboru, 2021, str. 121-160.</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lastRenderedPageBreak/>
              <w:t>•</w:t>
            </w:r>
            <w:r w:rsidRPr="00B37402">
              <w:rPr>
                <w:rFonts w:ascii="Times New Roman" w:eastAsia="Calibri" w:hAnsi="Times New Roman" w:cs="Times New Roman"/>
                <w:lang w:val="sr-Cyrl-CS" w:eastAsia="zh-CN"/>
              </w:rPr>
              <w:tab/>
              <w:t>Antolović, M., Sadžakov, S. (2021). „Nastanak ideje tolerancije u ranonovovekovnoj Evropi“, u: Ж. Вучковић, М. Антоловић, С. Саџаков (ур.), Толеранција, демократија и образовање: могућности и перспективе у 21. веку, Сомбор: Педагошки факултет, 2021, 7–26.</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 xml:space="preserve">Šumonja, M. (2021). „Pedagogija kao politika u "društvu znanja" - kako su progresivne ideje pomogle neoliberalizaciju države, obrazovanja, i dolazak post-istine“, u: Tolerancija, demokratija i obrazovanje. Mogućnosti i perspektive u 21. veku, ur. Ž. Vučković, M. Antolović i S. Sadžakov, str. 40–67. </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Марковић, С. (2021). „Реваншизам, национализам и експанзија. простор војводине као плен 1941. године“, Зборник радова, Ћоровићеви дани, Гацко, у штампи.</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Марковић, С. (2021). „Светосавље између хришћански вредности и националног интереса“, Зборник радова Осам векова хришћаства, Бачка Паланка, 2021, у штампи</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r>
            <w:r w:rsidRPr="00B37402">
              <w:rPr>
                <w:rFonts w:ascii="Times New Roman" w:eastAsia="Calibri" w:hAnsi="Times New Roman" w:cs="Times New Roman"/>
                <w:lang w:val="sr-Cyrl-CS" w:eastAsia="zh-CN"/>
              </w:rPr>
              <w:tab/>
              <w:t>Šumonja, M. O Νεοφιλελευθερισμός στον Απόηχο της Covid-19, u Κοινωνική πολιτική, αυταρχικός νεοφιλελευθερισμός και πανδημία, ur. A. Kapsalis, V. Koumarianos i N. Kourachanis, str. 18–33, Athens: TOPOS.</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Šimonji Černak, R. (2021). Obrazovanje na manjinskim jezicima: tolerancija u praksi. U Ž. Vučković, M. Antolović i S. Sadžakov (ur.). Tolerancija, demokratija i obrazovanje: mogućnosti i perspektive u 21. veku, (pp. 107-121). Sombor: Pedagoški fakultet.</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Гојковић, Н. (2021). Језичка толеранција: у правцу родне (не)осетљивости. Тематски зборник међународног значаја „Толеранција, демократија, образовање – могућности и перспективе у 21. веку“. Педагошки факултет у Сомбору, 2021, стр. 90-107.</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Knežević, Lj., Miškeljin, I., Halupka-Rešetar, S. (2021). The use of dictionaries in teaching English for Specific Purposes: The teachers’ perspective. In S. Gudurić, T. Prćić (eds.), Where our languages and cultures meet and mix: A view from Serbia. Selected Papers from the Research Project Languages and Cultures in Time and Space (2011-2019). Novi Sad: Filozofski fakultet. 269-296.</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Млађеновић, М. (2021). Јеврејство из перспективе детета у роману Semper idemЂорђа Лебовића. Српски језик, књижевност, уметност. Зборник радова са XV међународног научног скупа одржаног на Филолошко-</w:t>
            </w:r>
            <w:r w:rsidRPr="00B37402">
              <w:rPr>
                <w:rFonts w:ascii="Times New Roman" w:eastAsia="Calibri" w:hAnsi="Times New Roman" w:cs="Times New Roman"/>
                <w:lang w:val="sr-Cyrl-CS" w:eastAsia="zh-CN"/>
              </w:rPr>
              <w:lastRenderedPageBreak/>
              <w:t>уметничком факултету у Крагујевцу. Ур. Проф. др Часлав НИколић, проф. др Драган Бошковић. Књига II/2.</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lastRenderedPageBreak/>
              <w:t>М14</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13</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lastRenderedPageBreak/>
              <w:t>3.</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Вучковић, Ж., Антоловић, М., Саџаков, С. (2021) (ур.). Толеранција, демократија и образовање: могућности и перспективе у 21. веку, Сомбор: Педагошки факултет, 2021.</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Antolović, M., Sadžakov, S. (2021). (ur.), Moderni univerzitet. Od Humboltove do Bolonjske reforme, Sombor: Pedagoški fakultet, 2021.</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М19</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2</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 xml:space="preserve">4. </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Gordić, S., Levajković, T., &amp; Oparnica, L. (2021). Stochastic parabolic equations with singular potentials. Chaos, Solitons &amp; Fractals, 151, 111245.</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Süli, T., Kozoderović G, Potkonjak, A., Vidanović, D., Tešović, B., Vračar, V., Miladinović Tasić, N., Stensvold, C. R., Lalošević, V. (2021). Subtyping Blastocystis in pigs and humans revealed unusual avian-specific subtype ST6 in humans in Serbia. Zoonoses Public  Health, 68:1–5. https://doi.org/10.1111/zph.12829</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М21а</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2</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pacing w:after="200" w:line="276" w:lineRule="auto"/>
              <w:jc w:val="center"/>
              <w:rPr>
                <w:rFonts w:ascii="Calibri" w:eastAsia="Calibri" w:hAnsi="Calibri" w:cs="Times New Roman"/>
                <w:lang w:val="uz-Cyrl-UZ" w:eastAsia="zh-CN"/>
              </w:rPr>
            </w:pPr>
            <w:r w:rsidRPr="00B37402">
              <w:rPr>
                <w:rFonts w:ascii="Times New Roman" w:eastAsia="Calibri" w:hAnsi="Times New Roman" w:cs="Times New Roman"/>
                <w:lang w:val="sr-Cyrl-CS" w:eastAsia="zh-CN"/>
              </w:rPr>
              <w:t xml:space="preserve">5. </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Bozic, P. R., Djordjic, V., Markovic, L., Cvejic, D., Trajković, N., Halasi, S., &amp; Ostojic, S. (2021). Dietary patterns and weight status of young school children in Serbia. Frontiers in Public Health, 9, 644.</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Kerekes, N., Bador, K., Sfendla, A., Belaatar, M., Mzadi, A., Jovic, V. Damjanovic, R., Erladsson, M., Nguyen, H. T M., Nguyen, N. T. A., Ulberg, S. F., Kuch-Cecconi, R. H., Meszaros, Zs. Sz., Stevanovic, D., Senhaji. M., Ahlstrom, B, H., &amp; Zouini, B. (2021). Changes in Adolescents’ Psychosocial Functioning and Well-Being as a Consequence of Long-Term COVID-19 Restrictions. International Journal of Environmental Research and Public Health, 18(16), 8755.  doi:10.3390/ijerph18168755</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М21</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2</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 xml:space="preserve">6. </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Gorjanac Ranitović, M., Tepavčević, A. Representation of slim lattice by poset. Filomat 35 (3) (2021) 919 – 925. https://doi.org/10.2298/FIL2103919R</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Anđić, B., Šorgo, A., Cvjetićanin, S., Maričić, M., &amp; Stešević, D. (2021). Multisensory Identification of Characteristics of Reproductive Plant-Parts by People with Blindness or People with Ultra-Low-Vision. Exceptionality. doi: 10.1080/09362835.2021.1938055</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 xml:space="preserve">Marić, M., Subotić, M., Dudić, B., Melović, B., Branković, N., Milisavljević, S. (2021). Evaluating Relations between Originality, Efficiency, Conformism and </w:t>
            </w:r>
            <w:r w:rsidRPr="00B37402">
              <w:rPr>
                <w:rFonts w:ascii="Times New Roman" w:eastAsia="Calibri" w:hAnsi="Times New Roman" w:cs="Times New Roman"/>
                <w:lang w:val="sr-Cyrl-CS" w:eastAsia="zh-CN"/>
              </w:rPr>
              <w:lastRenderedPageBreak/>
              <w:t>Entrepreneurial Potential of Students in a Fast Changing Business Environment, Sustainability, 13(4), 1593;</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https://doi.org/10.3390/su13041593</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Kozoderović, G., Todorović, D.,  Đilas, M., Kartalović, B., Velhner, M.  (2021). White tailed eagles (Haliaeetus albicilla) in protected Danube wetlands as carriers of Escherichia coli with resistance and virulence genes. European Journal of Wildlife Research,  67:103. https://doi.org/10.1007/s10344-021-01547-6</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Cvetković B., Cvetković M., Petrušić T., Đorđić V., Bubanj S., Popović B., Andrašić S., Buišić S. &amp; Bogataj Š. (2021). Nutrition and Physical Activity Behavior in 11-14-Year-Old Schoolchildren in Serbia. Children, 8(625), 1-10. ISSN 2227-9067. https://doi.org/10.3390/children8080625</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Marković, L., Đorđić, V., Trajković, N., Božić, P., Halaši, S., Cvejić, D., &amp; Ostojić, S. M. (2021). Childhood Obesity in Serbia on the Rise. Children, 8(5), 409.</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lastRenderedPageBreak/>
              <w:t>М22</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6</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 xml:space="preserve">7. </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Lazić, D. B., Knežević, B. J. &amp; Maričić, M. S. (2021). The Influence of Project-based Learning on Student Achievement in Elementary Mathematics Education. South African Journal of Education, Vol. 41, No 3/2021. Pretoria, South African Republic: Education Association of SA (in print) [ISSN 0256-0100 (print), ISSN 2076-3433 (online), doi: 10.15700/saje.v41n3a1909</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Paskali, Lj., Ivanović, L. &amp; Ivanović, D. (2021). Use analysis of the digital library of PhD dissertations defended at the University of Novi Sad, The Electronic Library, 39(1), pp. 97-117, https://doi.org/10.1108/EL-11-2019-0268</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Paskali, L., Ivanovic, L., Kapitsaki, G., Ivanovic, D., Surla, B.D. and Surla, D., (2021) Personalization of Search Results Representation of a Digital Library. Information Technology Libraries, 40(1)</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Rastovac, D., Mandić, M., Majski, V., &amp; Cvetković, D. (2021). Exploring the Achievement and Motivation of Leaning a Text Programming Language Among Elementary School Students. Croatian Јounal of Еducation, ISSN 1848-5189, received letter of acceptance (in print).</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Mandić, M. (2021). Semantic Web based platform for harmonization of teacher education curricula. Computer Science and Information Systems (ComSIS). ISSN 1820-0214, received letter of acceptance (in print).</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Rakic, D., Lazić, B., &amp; Marić, M. (2021). The influence of differentiated mathematical tasks on students’ logical-</w:t>
            </w:r>
            <w:r w:rsidRPr="00B37402">
              <w:rPr>
                <w:rFonts w:ascii="Times New Roman" w:eastAsia="Calibri" w:hAnsi="Times New Roman" w:cs="Times New Roman"/>
                <w:lang w:val="sr-Cyrl-CS" w:eastAsia="zh-CN"/>
              </w:rPr>
              <w:lastRenderedPageBreak/>
              <w:t>combinatorial thinking in elementary mathematics teaching. Slavonic Pedagogical Studies Journal. No 1, vol. 10. p. 78-92. [ISSN 1339-8660 (print), ISSN 1339-9055 (online), doi: 10.18355/PG.2021.10.1.7.]</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M. M., Županec, V. D., Babić-Kekez, S., &amp; Trbojević, A. R. (2021).  Methodological approaches to the study of inquiry-based learning in natural science education. Problems of Education in the 21st Century, 79(5), 728-750. https://doi.org/10.33225/pec/21.79.728</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Trbojević, A., E. Borić, V. Hus, &amp; Španović, S. (2021). Implementation of content related to children’s rights in schools: How to teach them?—perceptions of future teachers in Serbia, Croatia, and Slovenia. Education, Citizenship and Social Justice, 1–16. http://DOI: 10.1177/17461979211061796</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Trbojević, A., Gajić, M., Španović, S. &amp; Gajić, O. (2021). Children's rights to   participation: how do students see it? The International Journal of Children's Rights</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Šumonja, M. (2021). Kripke's Wittgenstein and Semantic Factualism. Journal for the History of Analytical Philosophy 9(3), str. 1–19; DOI 10.15173/jhap.v9i3.4370</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 xml:space="preserve">Antolović, M. (2021). Writing History Under the «Dictatorship of the Proletariat»: Yugoslav historiography 1945–1991. Revista de História das Ideias, 39, 49–73. </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 xml:space="preserve">https://doi.org/10.14195/2183-8925_39_2 </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Knežević, Lj., Halupka-Rešetar, S., Miškeljin, I., &amp; Mirić, M. (2021). Millennials as dictionary users: A study of dictionary use habits of Serbian EFL students. Sage Open 11/2. doi: https://doi.org/10.1177/21582440211008422</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Jurkić Sviben, T., Jeremić, B. &amp; Gortan-Carlin, I., P. (2021, in press). Student teachers' opinion regarding personal competencies for teaching the Music culture class in primary education. Croatian Journal of Education, Faculty of Teacher Education, Sp.Ed. Zagreb ISSN: 1848-5197.</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Đorđić, D., Šimonji Černak, R. i Beljanski M. (2021). Izazovi za novu ulogu i nove kompetencije nastavnika: iskustva u nastavi na daljinu. Društvene i humanističke studije, 16(3), 481-504.</w:t>
            </w:r>
            <w:r w:rsidRPr="00B37402">
              <w:rPr>
                <w:rFonts w:ascii="Times New Roman" w:eastAsia="Calibri" w:hAnsi="Times New Roman" w:cs="Times New Roman"/>
                <w:lang w:val="sr-Cyrl-CS" w:eastAsia="zh-CN"/>
              </w:rPr>
              <w:tab/>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Černak, R. Š., &amp; Beljanski, M. (2021). Pedagogical-psychological subjects in teacher education faculties in Serbia: a proposal of the core curriculum. International Journal of Instruction, 14(3), 929-944. https://doi.org/10.29333/iji.2021.14354a</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lastRenderedPageBreak/>
              <w:t>•</w:t>
            </w:r>
            <w:r w:rsidRPr="00B37402">
              <w:rPr>
                <w:rFonts w:ascii="Times New Roman" w:eastAsia="Calibri" w:hAnsi="Times New Roman" w:cs="Times New Roman"/>
                <w:lang w:val="sr-Cyrl-CS" w:eastAsia="zh-CN"/>
              </w:rPr>
              <w:tab/>
              <w:t>Cvijetić, M., Kaljača, S., i Glumbić, N. (2021). The role of personal and environmental factors in autonomous behaviour of people with intellectual disability. International Journal of Disability Development and Education. doi: 10.1080/1034912X.2021.1989669</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lastRenderedPageBreak/>
              <w:t>М23</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16</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lastRenderedPageBreak/>
              <w:t xml:space="preserve">8. </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Марковић, С. и Вучковић, Ж. (2021). Продор националсоцијализма. Немци Краљевине Југославије 1941. године. Социолошки преглед, 55(3), стр. 1165-1182. DOI: 10.5937/socpreg55-32323</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Petrovic, D., Maric, M., Bogosavljevic-Sijakov, M. (2021). Pilot Study on the Improvement of the Health-education and Psychological Competencies of Education Students in the Context of Epidemic/Pandemic Circumstances; Education and Self Development. 16(3), pp. 44-51,  DOI:10.26907/esd.16.3.05</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Cvjetićanin, S. i Maričić, M. (2021). Doprinos primene direktne u odnosu na indirektnu hands-on instrukciju na postignuća učenika u početnom obrazovanju u prirodnim naukama. Inovacije u nastavi (u štampi).</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Đorđić, D., Cvijetić, M. i Damjanović, R. (2021). Iskustva učitelja i nastavnika tokom realizacije nastave na daljinu usled pandemije virusa korona (COVID-19). Inovacije u nastavi, 34(2), 86-103.</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Mićanović Cvejić, Ž., Šimonji Černak, R. (2021). Izazovi bračnog života: faktori opadanja bračnog odnosa. Zbornik matice srpske za društvene nauke, 177(1/2021), 109-123.</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Raičević Bajić, D., Nikolić,G., Gordić, M., Mouvet, K.,Van Herreweghe, M., (2021) Language attitudes towards Serbian Sign Language and experiences with deaf education in Serbia. DiGeSt Journal of Diversity and Gender Studies, Volume 8, Issue 1 Print ISSN: 2593-0273. Online ISSN: 2593-0281</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М24</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6</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 xml:space="preserve">9. </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Petrovic, D., Maric, M., Bogosavljevic-Sijakov, M. (2021). Workshop Activities With the Purpose of Acquiring Knowledge and Patterns of Behaviour of Pupils in the Pandemic (Radioničarske aktivnosti u funkciji usvajanja znanja i obrazaca ponašanja učenika u uslovima pandemije); Faculty of Education in Sombor, University of Novi Sad, Primary School Education During the Pandemic (Obrazovanje u osnovnoj školi u vreme pandemije), Scientific conference with international participation; Sombor, Serbia, 6 November 2021. (u štampi)</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М31</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lastRenderedPageBreak/>
              <w:t xml:space="preserve">10. </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Marijana Gorjanac Ranitović, Andreja Tepavčević. A lattice representation of interval valued fuzzy sets by family of lower (level) cut sets. CaCNAS: FA 2021, 30. 6. - 2. 7. 2021.</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Glogovac, D. &amp; Lazić, B. (2021). From spelling book based to research guided class of mathematics (book of apstract). 10th Methodological Sciencific Conference 2021, november 5th. Hungarian teacher training faculty, Subotica</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Knežević, J., Lazić, B. &amp; Pinter Krekić, V. (2021). Teacher, children's experience of school and application of the project model of work (book of apstract). 10th Methodological Sciencific Conference 2021, november 5th. Hungarian teacher training faculty, Subotica</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Gordić, S. (2021) Stochastic parabolic equations with singularities. 13th International ISAAC Congress, Ghent, Belgium, Book of Abstracts</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Petrovic, D., Maric, M., Bogosavljevic-Sijakov, M. (2021). Enhancement of the Health-education Competencies of the Education Students in Relation to the Epidemic/Pandemic Emergency;  ATEE-EDiTE-ELTE, Research in Teacher Education – The Next Generation Conference, Eötvös Loránd University, Budapest, Hungary, 11 June 2021, pp. 86-88, ISBN 9789082506563</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Petrovic, D., Maric, M., Bogosavljevic-Sijakov, M., (2021). Pilot study on the improvement of the health-education and psychological competencies of the education students in the context of epidemic/pandemic circumstances. 7th International Forum on Teacher Education (IFTE) “Teacher Education: New Challenges and Goals”, Book of abstracts. Kazan: Ministry of Science and Higher Education of the Russian Federation, Kazan Federal University, Russian Academy of Education. Kazan, Russia, 26-28 May 2021.</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Stojšić, I., Ivkov-Džigurski, А., Ivanović Bibić, Lj., Adanin, K., &amp; Maričić, О. (2021). Immersive virtual trips in geography teaching: Supplement and/or substitution for fieldworks. Collection of papers, The 5th Serbian Congress of Geographers "Innovative Approach and Perspectives of the Applied Geography", 9-11th, September, (pp. 97), Novi Sad : Faculty of Sciences, Department of Geography, Tourism and Hotel Management, ISBN 978-86-7031-588-4</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Bogosavljevic-Sijakov, M., Petrovic, D., Maric, M. (2021). Enhancement of the health-education competencies of the education students in relation to the epidemic/pandemic emergency.  ATEE-EDiTE-ELTE Online Conference for Early-</w:t>
            </w:r>
            <w:r w:rsidRPr="00B37402">
              <w:rPr>
                <w:rFonts w:ascii="Times New Roman" w:eastAsia="Calibri" w:hAnsi="Times New Roman" w:cs="Times New Roman"/>
                <w:lang w:val="sr-Cyrl-CS" w:eastAsia="zh-CN"/>
              </w:rPr>
              <w:lastRenderedPageBreak/>
              <w:t>stage Researchers (Association for Teacher Education in Europe - European Doctorate in Teacher Education) “Research in Teacher Education – Next Generation“, Book of abstracts, pp. 86-87. Brussel: Association for Teacher Education in Europe – ATEE, Budapest: Faculty of Education and Psychology, Eotvos Lorand University. Budapest, Hungary, 11 June 2021.</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Млађеновић, Миливоје (2021). Семиотика града у роману Semper idem Ђорђа Лебовића.XVI међународни научни скуп Српски језик, књижевност, уметност.  (Филолошко-уметнички факултет Крагујевац, 29.-30. 10. 2021)</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Наташа Гојковић, Језици и културе у времену и простору 10, Филозофски факултет Нови Сад, 20. новембар 2021. Наслов рада: Прогонитељ или спаситељ: град у Адреси Драгана Великића и Њујоршкој трилогији Пола Остера.</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Golijanin Elez, S. (2021). Eine Ontologie des Stigmas, der Anklage und der Skepsis in der eschatologischen Vision des Chronotops der Stadt – eine Genealogie Sarajevos (ein Kryptogramm der Stadt) in der poetischen Spiritualität von Andrićs Erzählung („Die Geliebte des Veli Pascha“), Ontologija stigme, naboja i skepse u eshatološkoj viziji hronotopa grada – sarajevska genealogija (kriptogram grada) u poetskoj duhovnosti Andrićeve pripovetke („Mara milosnica“), 13. symposium • 13. simpozij(um) • 13. симпозиј(ум) • 13. симпозиум, 15–18.10.2021, Andrićs  Erzählung, Andrićeva pripovijetka • Андрићева приповијетка, Рассказ Андрича.</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lastRenderedPageBreak/>
              <w:t>М34</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11</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11.</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Антоловић, М. (2021). Чедомир Попов. Интелектуална биографија, Нови Сад: Матица српска, стр. 307. ISBN 978-86-7946-352-4</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Ђуркин, В. (2021). Језичко-стилски огледи из србистике. Андрићград: Библиотека „Знамен србистике“, Одјељење за језик, Андрићев институт, 367 стр.</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М41</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2</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12.</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Марковић, С. (2021). Фрагменти о „српском свету“. Нови Сад: Архив Војводине, Сомбор: Педагошки факултет.</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М42</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13.</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Глоговац, Д., Mилошевић, М., Лазић, Б. (2021). Могућности примене истраживачки засноване наставе (ИН) у почетном математичком образовању. У: Маринковић, С. (ур.), Наука, настава, учење у измењеном друштвеном контексту. Ужице: Педагошки факултет, (23):483-500. ISBN: 978-86-6191-065-4 DOI: 10.46793/NNU2</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М45</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lastRenderedPageBreak/>
              <w:t>14.</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Рудић, Г. и Јовановић, Ј. (2021). Превенција плагирања кроз едукацију, Култура полиса, год. XVIII, бр. 46, стр. 133-144. DOI: 10.51738/Kpolisa2021.18.3r.2.03</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Рудић, Г. и Вучковић, Ж. (2021). Изазови и перспективе критичке педагогије медија. Методички видици, 12 (прихваћено за штампу за број 12, 2021.). DOI: 10.19090/MV.2021.12.365-380</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Јеремић, Б., и Миленовић, Ж. (2021, in press). Educators’ Perceptions Regarding the Inclusion of Experts of Various Profiles into the Team for Inclusive Education. Баштина. 31(55), ISSN 0353-9008</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Marić, M, Sakač, M., Marković, S. (2021). Odnos dimenzija porodičnog života i opšteg životnog zadovoljstva kod studenata. Antropologija, 21(1), 141-153.</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Тодоровић, Ј., Цвијетић, М., и Николић, С. (2021). Пружање подршке у оквиру превенције сексуалног насиља над особама с интелектуалном ометеношћу. Београдска дефектолошка школа, 27(1), 61-76.</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Млађеновић, Миливоје (2021) Српска драмска књижевност за децу у жанровском систему .   Међународни скуп слависта у Вукове дане.50. година meђународног славистичког центра српски језик и књижевност данас –теоријско-методолошки аспекти проучавања, рецепције и превођења, Међународни славистчки центар Београд, Филолошки факултет. Бр. 50/2 143-152.</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М51</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6</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15.</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Гојковић, Наташа. „Људи из(а) екрана“. Летопис Матице српске, јул-август 2021, стр. 180-183.</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Кнежевић, Ј., Милошевић, М., Лазић, Б. (2021). Пројектно учење – од идеје до модела учења у почетној настави математике. Норма, XXVI, 2/2021. Сомбор: Педагошки факултет. [прихваћено за објављивање]</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 xml:space="preserve">Mаричић, O., Трбојевић, А. (2021). Активизација ученика у настави Природе и друштва применом мултимедије. Зборник радова учитељског факултета Призрен-Лепосавић. 15(1), 107-118. </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Gradinšćak, D., Branković, N., Kozoderović, G. (2021). Učenje zasnovano na baštovanstvu, Norma, Vol 26, br. 1, 53-66.</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Štrangarić, S. (2021). Školsko znanje i skriveni kurikulum – sociološka perspektiva. Norma 26(1), 15-25.</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lastRenderedPageBreak/>
              <w:t>•</w:t>
            </w:r>
            <w:r w:rsidRPr="00B37402">
              <w:rPr>
                <w:rFonts w:ascii="Times New Roman" w:eastAsia="Calibri" w:hAnsi="Times New Roman" w:cs="Times New Roman"/>
                <w:lang w:val="sr-Cyrl-CS" w:eastAsia="zh-CN"/>
              </w:rPr>
              <w:tab/>
              <w:t>Милошевић, Ј. (2021). Традиционална народна кола у настави Музичке културе на млађем школском узрасту. Норма, 1(26), 39-51.</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lastRenderedPageBreak/>
              <w:t>М52</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6</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 xml:space="preserve">16. </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Ђуркин, В. „Статус српског језика на Педагошком факултету у Сомбору“, у: М. Ковачевић, Статус српског језика и књижевности у образовном систему : зборник радова са Прве интеркатедарске србистичке конференције, одржане у НОКЦ „Вук Караџић“ у Тршићу 19–21. јуна 2020. године, Завод за унапређивање образовања и васпитања Београд, 2021, 193–204.</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Рудић, Г., Боберић Крстићев, Д. и Тешендић, Д., (2021). Библиотечки информациони систем БИСИС на клауд платформи, стр. 29-37. У: Брзуловић-Станисављевић, Т. (ур.) Мобилно библиотекарство, до удаљених корисника путем апликација, услуга и идеја, Зборник радова XVII међународне конференције БДС одржане онлајн, 14-16. децембар 2020. Београд: Библиотекарско друштво Србије.</w:t>
            </w:r>
          </w:p>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Ковачић, З. и Цвијетић, М. (2021). Поједини аспекти услуга ране интервенције при развојном саветовалишту. У Х. Мемишевић и С. Хаџић (ур.), Зборник радова међународне конференције Мултидисциплинарни приступи у едукацији и рехабилитацији (стр. 223-235). Сарајево: Perfecta</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М63</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3</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 xml:space="preserve">17. </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w:t>
            </w:r>
            <w:r w:rsidRPr="00B37402">
              <w:rPr>
                <w:rFonts w:ascii="Times New Roman" w:eastAsia="Calibri" w:hAnsi="Times New Roman" w:cs="Times New Roman"/>
                <w:lang w:val="sr-Cyrl-CS" w:eastAsia="zh-CN"/>
              </w:rPr>
              <w:tab/>
              <w:t>Млађеновић, Миливоје (2021). Допринос Јована Љуштановића проучавању драме и позоришта. Излагање на 7. Научном скупу „“Књижевност за децу у науци и настави“ одржаном 14. и 15. маја 2021. на Факултету педагошких наука у Јагодини Универзитета у Крагујевцу</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М64</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w:t>
            </w:r>
          </w:p>
        </w:tc>
      </w:tr>
      <w:tr w:rsidR="00A235EB" w:rsidRPr="00B37402" w:rsidTr="00A235EB">
        <w:tc>
          <w:tcPr>
            <w:tcW w:w="875" w:type="dxa"/>
            <w:tcBorders>
              <w:top w:val="single" w:sz="4" w:space="0" w:color="000000"/>
              <w:left w:val="double" w:sz="4" w:space="0" w:color="000000"/>
              <w:bottom w:val="single" w:sz="4" w:space="0" w:color="000000"/>
            </w:tcBorders>
            <w:shd w:val="clear" w:color="auto" w:fill="auto"/>
            <w:vAlign w:val="center"/>
          </w:tcPr>
          <w:p w:rsidR="00A235EB" w:rsidRPr="00B37402" w:rsidRDefault="00A235EB" w:rsidP="00CA7B2D">
            <w:pPr>
              <w:suppressAutoHyphens/>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н</w:t>
            </w:r>
          </w:p>
        </w:tc>
        <w:tc>
          <w:tcPr>
            <w:tcW w:w="5806" w:type="dxa"/>
            <w:tcBorders>
              <w:top w:val="single" w:sz="4" w:space="0" w:color="000000"/>
              <w:left w:val="single" w:sz="4" w:space="0" w:color="000000"/>
              <w:bottom w:val="single" w:sz="4" w:space="0" w:color="000000"/>
            </w:tcBorders>
            <w:shd w:val="clear" w:color="auto" w:fill="auto"/>
          </w:tcPr>
          <w:p w:rsidR="00A235EB" w:rsidRPr="00B37402" w:rsidRDefault="00A235EB" w:rsidP="00CA7B2D">
            <w:pPr>
              <w:suppressAutoHyphens/>
              <w:snapToGrid w:val="0"/>
              <w:spacing w:after="200" w:line="276" w:lineRule="auto"/>
              <w:jc w:val="both"/>
              <w:rPr>
                <w:rFonts w:ascii="Times New Roman" w:eastAsia="Calibri" w:hAnsi="Times New Roman" w:cs="Times New Roman"/>
                <w:lang w:val="sr-Cyrl-RS" w:eastAsia="zh-CN"/>
              </w:rPr>
            </w:pPr>
            <w:r w:rsidRPr="00B37402">
              <w:rPr>
                <w:rFonts w:ascii="Times New Roman" w:eastAsia="Calibri" w:hAnsi="Times New Roman" w:cs="Times New Roman"/>
                <w:lang w:val="sr-Cyrl-CS" w:eastAsia="zh-CN"/>
              </w:rPr>
              <w:t xml:space="preserve">Радова на </w:t>
            </w:r>
            <w:r w:rsidRPr="00B37402">
              <w:rPr>
                <w:rFonts w:ascii="Times New Roman" w:eastAsia="Calibri" w:hAnsi="Times New Roman" w:cs="Times New Roman"/>
                <w:lang w:val="sr-Latn-RS" w:eastAsia="zh-CN"/>
              </w:rPr>
              <w:t xml:space="preserve">SCI/SSCI </w:t>
            </w:r>
            <w:r w:rsidRPr="00B37402">
              <w:rPr>
                <w:rFonts w:ascii="Times New Roman" w:eastAsia="Calibri" w:hAnsi="Times New Roman" w:cs="Times New Roman"/>
                <w:lang w:val="sr-Cyrl-RS" w:eastAsia="zh-CN"/>
              </w:rPr>
              <w:t xml:space="preserve">листи према укупном броју наставника и сарадника. </w:t>
            </w:r>
          </w:p>
        </w:tc>
        <w:tc>
          <w:tcPr>
            <w:tcW w:w="1418" w:type="dxa"/>
            <w:tcBorders>
              <w:top w:val="single" w:sz="4" w:space="0" w:color="000000"/>
              <w:left w:val="single" w:sz="4" w:space="0" w:color="000000"/>
              <w:bottom w:val="sing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26/65=0,4.</w:t>
            </w:r>
          </w:p>
        </w:tc>
        <w:tc>
          <w:tcPr>
            <w:tcW w:w="109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235EB" w:rsidRPr="00B37402" w:rsidRDefault="00A235EB" w:rsidP="00A235EB">
            <w:pPr>
              <w:suppressAutoHyphens/>
              <w:snapToGrid w:val="0"/>
              <w:spacing w:after="200" w:line="276" w:lineRule="auto"/>
              <w:jc w:val="center"/>
              <w:rPr>
                <w:rFonts w:ascii="Times New Roman" w:eastAsia="Calibri" w:hAnsi="Times New Roman" w:cs="Times New Roman"/>
                <w:lang w:val="sr-Cyrl-CS" w:eastAsia="zh-CN"/>
              </w:rPr>
            </w:pPr>
          </w:p>
        </w:tc>
      </w:tr>
      <w:tr w:rsidR="00A235EB" w:rsidRPr="00B37402" w:rsidTr="00A235EB">
        <w:tc>
          <w:tcPr>
            <w:tcW w:w="9189" w:type="dxa"/>
            <w:gridSpan w:val="4"/>
            <w:tcBorders>
              <w:top w:val="double" w:sz="4" w:space="0" w:color="000000"/>
              <w:left w:val="double" w:sz="4" w:space="0" w:color="000000"/>
              <w:bottom w:val="double" w:sz="4" w:space="0" w:color="000000"/>
              <w:right w:val="double" w:sz="4" w:space="0" w:color="000000"/>
            </w:tcBorders>
            <w:shd w:val="clear" w:color="auto" w:fill="auto"/>
            <w:vAlign w:val="center"/>
          </w:tcPr>
          <w:p w:rsidR="00A235EB" w:rsidRPr="00B37402" w:rsidRDefault="00A235EB" w:rsidP="00A235EB">
            <w:pPr>
              <w:suppressAutoHyphens/>
              <w:spacing w:before="120" w:after="120" w:line="276" w:lineRule="auto"/>
              <w:jc w:val="center"/>
              <w:rPr>
                <w:rFonts w:ascii="Calibri" w:eastAsia="Calibri" w:hAnsi="Calibri" w:cs="Times New Roman"/>
                <w:lang w:val="uz-Cyrl-UZ" w:eastAsia="zh-CN"/>
              </w:rPr>
            </w:pPr>
            <w:r w:rsidRPr="00B37402">
              <w:rPr>
                <w:rFonts w:ascii="Times New Roman" w:eastAsia="Calibri" w:hAnsi="Times New Roman" w:cs="Times New Roman"/>
                <w:i/>
                <w:lang w:val="sr-Cyrl-CS" w:eastAsia="zh-CN"/>
              </w:rPr>
              <w:t>Напомена</w:t>
            </w:r>
            <w:r w:rsidRPr="00B37402">
              <w:rPr>
                <w:rFonts w:ascii="Times New Roman" w:eastAsia="Calibri" w:hAnsi="Times New Roman" w:cs="Times New Roman"/>
                <w:lang w:val="sr-Cyrl-CS" w:eastAsia="zh-CN"/>
              </w:rPr>
              <w:t>: *За уметничке резултате корисити адекватне ознаке</w:t>
            </w:r>
          </w:p>
        </w:tc>
      </w:tr>
      <w:tr w:rsidR="00A235EB" w:rsidRPr="00B37402" w:rsidTr="00A235EB">
        <w:tc>
          <w:tcPr>
            <w:tcW w:w="9189" w:type="dxa"/>
            <w:gridSpan w:val="4"/>
            <w:tcBorders>
              <w:top w:val="double" w:sz="4" w:space="0" w:color="000000"/>
              <w:left w:val="double" w:sz="4" w:space="0" w:color="000000"/>
              <w:bottom w:val="double" w:sz="4" w:space="0" w:color="000000"/>
              <w:right w:val="double" w:sz="4" w:space="0" w:color="000000"/>
            </w:tcBorders>
            <w:shd w:val="clear" w:color="auto" w:fill="auto"/>
            <w:vAlign w:val="center"/>
          </w:tcPr>
          <w:p w:rsidR="00A235EB" w:rsidRPr="00B37402" w:rsidRDefault="00A235EB" w:rsidP="00A235EB">
            <w:pPr>
              <w:suppressAutoHyphens/>
              <w:snapToGrid w:val="0"/>
              <w:spacing w:before="120" w:after="120" w:line="276" w:lineRule="auto"/>
              <w:jc w:val="center"/>
              <w:rPr>
                <w:rFonts w:ascii="Times New Roman" w:eastAsia="Calibri" w:hAnsi="Times New Roman" w:cs="Times New Roman"/>
                <w:i/>
                <w:lang w:val="sr-Cyrl-CS" w:eastAsia="zh-CN"/>
              </w:rPr>
            </w:pPr>
          </w:p>
        </w:tc>
      </w:tr>
    </w:tbl>
    <w:p w:rsidR="001A7791" w:rsidRDefault="001A7791"/>
    <w:sectPr w:rsidR="001A7791" w:rsidSect="00080692">
      <w:pgSz w:w="11906" w:h="16838"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EE"/>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5EB"/>
    <w:rsid w:val="00080692"/>
    <w:rsid w:val="001A7791"/>
    <w:rsid w:val="00A235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D910F"/>
  <w15:chartTrackingRefBased/>
  <w15:docId w15:val="{03AB7014-8417-48E2-9E74-D0286ACE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5EB"/>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3155</Words>
  <Characters>17984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Majski</dc:creator>
  <cp:keywords/>
  <dc:description/>
  <cp:lastModifiedBy>Vladimir Majski</cp:lastModifiedBy>
  <cp:revision>1</cp:revision>
  <dcterms:created xsi:type="dcterms:W3CDTF">2022-03-30T09:13:00Z</dcterms:created>
  <dcterms:modified xsi:type="dcterms:W3CDTF">2022-03-30T09:15:00Z</dcterms:modified>
</cp:coreProperties>
</file>